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782AC" w14:textId="017EF79F" w:rsidR="00122193" w:rsidRDefault="00E931C9" w:rsidP="00E931C9">
      <w:pPr>
        <w:jc w:val="center"/>
        <w:rPr>
          <w:rFonts w:ascii="Quicksand" w:hAnsi="Quicksand"/>
          <w:b/>
          <w:bCs/>
          <w:u w:val="single"/>
        </w:rPr>
      </w:pPr>
      <w:r>
        <w:rPr>
          <w:rFonts w:ascii="Quicksand" w:hAnsi="Quicksand"/>
          <w:b/>
          <w:bCs/>
          <w:u w:val="single"/>
        </w:rPr>
        <w:t>The Kia Oval – Vitality Blast Powerplay Offer</w:t>
      </w:r>
    </w:p>
    <w:p w14:paraId="2DF7C769" w14:textId="77777777" w:rsidR="00E931C9" w:rsidRDefault="00E931C9" w:rsidP="00E931C9">
      <w:pPr>
        <w:jc w:val="center"/>
        <w:rPr>
          <w:rFonts w:ascii="Quicksand" w:hAnsi="Quicksand"/>
        </w:rPr>
      </w:pPr>
    </w:p>
    <w:p w14:paraId="2769C3D2" w14:textId="53A8423D" w:rsidR="00E931C9" w:rsidRPr="00E931C9" w:rsidRDefault="00122193" w:rsidP="00E931C9">
      <w:pPr>
        <w:rPr>
          <w:rFonts w:eastAsia="Times New Roman" w:cs="Times New Roman"/>
          <w:color w:val="212121"/>
          <w:lang w:eastAsia="en-GB"/>
        </w:rPr>
      </w:pPr>
      <w:r>
        <w:rPr>
          <w:rFonts w:ascii="Quicksand" w:hAnsi="Quicksand"/>
        </w:rPr>
        <w:t>*</w:t>
      </w:r>
      <w:r w:rsidR="00E931C9" w:rsidRPr="00E931C9">
        <w:rPr>
          <w:color w:val="212121"/>
        </w:rPr>
        <w:t xml:space="preserve"> </w:t>
      </w:r>
      <w:r w:rsidR="00E931C9">
        <w:rPr>
          <w:rFonts w:eastAsia="Times New Roman" w:cs="Times New Roman"/>
          <w:color w:val="212121"/>
          <w:lang w:eastAsia="en-GB"/>
        </w:rPr>
        <w:t>The Powerplay offer</w:t>
      </w:r>
      <w:r w:rsidR="00E931C9" w:rsidRPr="00E931C9">
        <w:rPr>
          <w:rFonts w:eastAsia="Times New Roman" w:cs="Times New Roman"/>
          <w:color w:val="212121"/>
          <w:lang w:eastAsia="en-GB"/>
        </w:rPr>
        <w:t xml:space="preserve"> </w:t>
      </w:r>
      <w:r w:rsidR="00E931C9">
        <w:rPr>
          <w:rFonts w:eastAsia="Times New Roman" w:cs="Times New Roman"/>
          <w:color w:val="212121"/>
          <w:lang w:eastAsia="en-GB"/>
        </w:rPr>
        <w:t>is</w:t>
      </w:r>
      <w:r w:rsidR="00E931C9" w:rsidRPr="00E931C9">
        <w:rPr>
          <w:rFonts w:eastAsia="Times New Roman" w:cs="Times New Roman"/>
          <w:color w:val="212121"/>
          <w:lang w:eastAsia="en-GB"/>
        </w:rPr>
        <w:t xml:space="preserve"> only </w:t>
      </w:r>
      <w:r w:rsidR="00E931C9">
        <w:rPr>
          <w:rFonts w:eastAsia="Times New Roman" w:cs="Times New Roman"/>
          <w:color w:val="212121"/>
          <w:lang w:eastAsia="en-GB"/>
        </w:rPr>
        <w:t>available at</w:t>
      </w:r>
      <w:r w:rsidR="002443C7">
        <w:rPr>
          <w:rFonts w:eastAsia="Times New Roman" w:cs="Times New Roman"/>
          <w:color w:val="212121"/>
          <w:lang w:eastAsia="en-GB"/>
        </w:rPr>
        <w:t xml:space="preserve"> the</w:t>
      </w:r>
      <w:r w:rsidR="00E931C9" w:rsidRPr="00E931C9">
        <w:rPr>
          <w:rFonts w:eastAsia="Times New Roman" w:cs="Times New Roman"/>
          <w:color w:val="212121"/>
          <w:lang w:eastAsia="en-GB"/>
        </w:rPr>
        <w:t xml:space="preserve"> </w:t>
      </w:r>
      <w:r w:rsidR="00E931C9">
        <w:rPr>
          <w:rFonts w:eastAsia="Times New Roman" w:cs="Times New Roman"/>
          <w:color w:val="212121"/>
          <w:lang w:eastAsia="en-GB"/>
        </w:rPr>
        <w:t>202</w:t>
      </w:r>
      <w:r w:rsidR="002443C7">
        <w:rPr>
          <w:rFonts w:eastAsia="Times New Roman" w:cs="Times New Roman"/>
          <w:color w:val="212121"/>
          <w:lang w:eastAsia="en-GB"/>
        </w:rPr>
        <w:t>5</w:t>
      </w:r>
      <w:r w:rsidR="00E931C9">
        <w:rPr>
          <w:rFonts w:eastAsia="Times New Roman" w:cs="Times New Roman"/>
          <w:color w:val="212121"/>
          <w:lang w:eastAsia="en-GB"/>
        </w:rPr>
        <w:t xml:space="preserve"> </w:t>
      </w:r>
      <w:r w:rsidR="00E931C9" w:rsidRPr="00E931C9">
        <w:rPr>
          <w:rFonts w:eastAsia="Times New Roman" w:cs="Times New Roman"/>
          <w:color w:val="212121"/>
          <w:lang w:eastAsia="en-GB"/>
        </w:rPr>
        <w:t xml:space="preserve">Vitality Blast </w:t>
      </w:r>
      <w:r w:rsidR="002443C7">
        <w:rPr>
          <w:rFonts w:eastAsia="Times New Roman" w:cs="Times New Roman"/>
          <w:color w:val="212121"/>
          <w:lang w:eastAsia="en-GB"/>
        </w:rPr>
        <w:t xml:space="preserve">Surrey vs. Middlesex </w:t>
      </w:r>
      <w:r w:rsidR="00E931C9" w:rsidRPr="00E931C9">
        <w:rPr>
          <w:rFonts w:eastAsia="Times New Roman" w:cs="Times New Roman"/>
          <w:color w:val="212121"/>
          <w:lang w:eastAsia="en-GB"/>
        </w:rPr>
        <w:t xml:space="preserve">fixture </w:t>
      </w:r>
      <w:r w:rsidR="00E931C9">
        <w:rPr>
          <w:rFonts w:eastAsia="Times New Roman" w:cs="Times New Roman"/>
          <w:color w:val="212121"/>
          <w:lang w:eastAsia="en-GB"/>
        </w:rPr>
        <w:t>at the Kia Oval</w:t>
      </w:r>
      <w:r w:rsidR="002443C7">
        <w:rPr>
          <w:rFonts w:eastAsia="Times New Roman" w:cs="Times New Roman"/>
          <w:color w:val="212121"/>
          <w:lang w:eastAsia="en-GB"/>
        </w:rPr>
        <w:t xml:space="preserve">, </w:t>
      </w:r>
      <w:r w:rsidR="00F35E18">
        <w:rPr>
          <w:rFonts w:eastAsia="Times New Roman" w:cs="Times New Roman"/>
          <w:color w:val="212121"/>
          <w:lang w:eastAsia="en-GB"/>
        </w:rPr>
        <w:t>for</w:t>
      </w:r>
      <w:r w:rsidR="002443C7">
        <w:rPr>
          <w:rFonts w:eastAsia="Times New Roman" w:cs="Times New Roman"/>
          <w:color w:val="212121"/>
          <w:lang w:eastAsia="en-GB"/>
        </w:rPr>
        <w:t xml:space="preserve"> which </w:t>
      </w:r>
      <w:r w:rsidR="00E931C9" w:rsidRPr="00E931C9">
        <w:rPr>
          <w:rFonts w:eastAsia="Times New Roman" w:cs="Times New Roman"/>
          <w:color w:val="212121"/>
          <w:lang w:eastAsia="en-GB"/>
        </w:rPr>
        <w:t>gate</w:t>
      </w:r>
      <w:r w:rsidR="00F35E18">
        <w:rPr>
          <w:rFonts w:eastAsia="Times New Roman" w:cs="Times New Roman"/>
          <w:color w:val="212121"/>
          <w:lang w:eastAsia="en-GB"/>
        </w:rPr>
        <w:t xml:space="preserve">s </w:t>
      </w:r>
      <w:r w:rsidR="002443C7">
        <w:rPr>
          <w:rFonts w:eastAsia="Times New Roman" w:cs="Times New Roman"/>
          <w:color w:val="212121"/>
          <w:lang w:eastAsia="en-GB"/>
        </w:rPr>
        <w:t>will open</w:t>
      </w:r>
      <w:r w:rsidR="00E931C9" w:rsidRPr="00E931C9">
        <w:rPr>
          <w:rFonts w:eastAsia="Times New Roman" w:cs="Times New Roman"/>
          <w:color w:val="212121"/>
          <w:lang w:eastAsia="en-GB"/>
        </w:rPr>
        <w:t xml:space="preserve"> at </w:t>
      </w:r>
      <w:r w:rsidR="00E931C9">
        <w:rPr>
          <w:rFonts w:eastAsia="Times New Roman" w:cs="Times New Roman"/>
          <w:color w:val="212121"/>
          <w:lang w:eastAsia="en-GB"/>
        </w:rPr>
        <w:t>16:</w:t>
      </w:r>
      <w:r w:rsidR="002443C7">
        <w:rPr>
          <w:rFonts w:eastAsia="Times New Roman" w:cs="Times New Roman"/>
          <w:color w:val="212121"/>
          <w:lang w:eastAsia="en-GB"/>
        </w:rPr>
        <w:t>45</w:t>
      </w:r>
      <w:r w:rsidR="00E931C9">
        <w:rPr>
          <w:rFonts w:eastAsia="Times New Roman" w:cs="Times New Roman"/>
          <w:color w:val="212121"/>
          <w:lang w:eastAsia="en-GB"/>
        </w:rPr>
        <w:t xml:space="preserve">. </w:t>
      </w:r>
      <w:r w:rsidR="002443C7">
        <w:rPr>
          <w:rFonts w:eastAsia="Times New Roman" w:cs="Times New Roman"/>
          <w:color w:val="212121"/>
          <w:lang w:eastAsia="en-GB"/>
        </w:rPr>
        <w:t xml:space="preserve">The offer is only on third party food concessions and all open bars. Please keep in mind, bars will be opened in a staggered fashion. </w:t>
      </w:r>
      <w:r w:rsidR="00E931C9" w:rsidRPr="00E931C9">
        <w:rPr>
          <w:rFonts w:eastAsia="Times New Roman" w:cs="Times New Roman"/>
          <w:color w:val="212121"/>
          <w:lang w:eastAsia="en-GB"/>
        </w:rPr>
        <w:t xml:space="preserve">There will be a strict cut off at </w:t>
      </w:r>
      <w:r w:rsidR="00E931C9">
        <w:rPr>
          <w:rFonts w:eastAsia="Times New Roman" w:cs="Times New Roman"/>
          <w:color w:val="212121"/>
          <w:lang w:eastAsia="en-GB"/>
        </w:rPr>
        <w:t>17</w:t>
      </w:r>
      <w:r w:rsidR="00E931C9" w:rsidRPr="00E931C9">
        <w:rPr>
          <w:rFonts w:eastAsia="Times New Roman" w:cs="Times New Roman"/>
          <w:color w:val="212121"/>
          <w:lang w:eastAsia="en-GB"/>
        </w:rPr>
        <w:t>:</w:t>
      </w:r>
      <w:r w:rsidR="002443C7">
        <w:rPr>
          <w:rFonts w:eastAsia="Times New Roman" w:cs="Times New Roman"/>
          <w:color w:val="212121"/>
          <w:lang w:eastAsia="en-GB"/>
        </w:rPr>
        <w:t xml:space="preserve">45. </w:t>
      </w:r>
      <w:r w:rsidR="00E931C9" w:rsidRPr="00E931C9">
        <w:rPr>
          <w:rFonts w:eastAsia="Times New Roman" w:cs="Times New Roman"/>
          <w:color w:val="212121"/>
          <w:lang w:eastAsia="en-GB"/>
        </w:rPr>
        <w:t>We will complete any ongoing transactions with the discount. However, we will not be able to start any further transactions thereafter for those waiting.</w:t>
      </w:r>
    </w:p>
    <w:p w14:paraId="45915024" w14:textId="1F8A0624" w:rsidR="002979AB" w:rsidRDefault="002979AB"/>
    <w:p w14:paraId="471C66EC" w14:textId="5D17D094" w:rsidR="009F2EDB" w:rsidRDefault="009F2EDB">
      <w:r>
        <w:t>The following bars will be open on this match day:</w:t>
      </w:r>
    </w:p>
    <w:p w14:paraId="0C83F791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Ali Brown Bar</w:t>
      </w:r>
    </w:p>
    <w:p w14:paraId="3DBD26D4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Long Room Coffee Counter</w:t>
      </w:r>
    </w:p>
    <w:p w14:paraId="1C8772DA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Long Room Ale Bar</w:t>
      </w:r>
    </w:p>
    <w:p w14:paraId="134DD4E3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Fenders Bar</w:t>
      </w:r>
    </w:p>
    <w:p w14:paraId="2BECCB14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Alcock Room</w:t>
      </w:r>
    </w:p>
    <w:p w14:paraId="3637841A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Hundred 100’s Bar</w:t>
      </w:r>
    </w:p>
    <w:p w14:paraId="0AD39804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Peter May Garden</w:t>
      </w:r>
    </w:p>
    <w:p w14:paraId="727B7843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Feathers</w:t>
      </w:r>
    </w:p>
    <w:p w14:paraId="05C1A5FE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Nip Back Inn</w:t>
      </w:r>
    </w:p>
    <w:p w14:paraId="1D3CB1DB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Wanderers</w:t>
      </w:r>
    </w:p>
    <w:p w14:paraId="3C7FD389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Century Tavern</w:t>
      </w:r>
    </w:p>
    <w:p w14:paraId="0EE2F25C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Kerb Bar</w:t>
      </w:r>
    </w:p>
    <w:p w14:paraId="337860C1" w14:textId="77777777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Boundary Bar</w:t>
      </w:r>
    </w:p>
    <w:p w14:paraId="6C2858A1" w14:textId="302A39AC" w:rsidR="009F2EDB" w:rsidRPr="009F2EDB" w:rsidRDefault="009F2EDB" w:rsidP="009F2EDB">
      <w:pPr>
        <w:numPr>
          <w:ilvl w:val="0"/>
          <w:numId w:val="1"/>
        </w:numPr>
        <w:rPr>
          <w:rFonts w:eastAsia="Times New Roman" w:cs="Calibri"/>
          <w:color w:val="212121"/>
          <w:lang w:eastAsia="en-GB"/>
        </w:rPr>
      </w:pPr>
      <w:r w:rsidRPr="009F2EDB">
        <w:rPr>
          <w:rFonts w:eastAsia="Times New Roman" w:cs="Calibri"/>
          <w:color w:val="212121"/>
          <w:lang w:eastAsia="en-GB"/>
        </w:rPr>
        <w:t>Sylvester</w:t>
      </w:r>
      <w:r>
        <w:rPr>
          <w:rFonts w:eastAsia="Times New Roman" w:cs="Calibri"/>
          <w:color w:val="212121"/>
          <w:lang w:eastAsia="en-GB"/>
        </w:rPr>
        <w:t>’s Bar</w:t>
      </w:r>
    </w:p>
    <w:p w14:paraId="079F962C" w14:textId="77777777" w:rsidR="009F2EDB" w:rsidRDefault="009F2EDB"/>
    <w:sectPr w:rsidR="009F2E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Quicksand">
    <w:altName w:val="Calibri"/>
    <w:panose1 w:val="020B0604020202020204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AC462F"/>
    <w:multiLevelType w:val="multilevel"/>
    <w:tmpl w:val="76949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68055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193"/>
    <w:rsid w:val="00122193"/>
    <w:rsid w:val="00177300"/>
    <w:rsid w:val="001D03C4"/>
    <w:rsid w:val="002443C7"/>
    <w:rsid w:val="002979AB"/>
    <w:rsid w:val="00615462"/>
    <w:rsid w:val="006E3A49"/>
    <w:rsid w:val="009F2EDB"/>
    <w:rsid w:val="00A12354"/>
    <w:rsid w:val="00AA5A88"/>
    <w:rsid w:val="00E931C9"/>
    <w:rsid w:val="00F35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9EE42A"/>
  <w15:chartTrackingRefBased/>
  <w15:docId w15:val="{529BA3E1-6270-4808-A1C0-F30CEFC68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2193"/>
    <w:pPr>
      <w:spacing w:after="0" w:line="240" w:lineRule="auto"/>
    </w:pPr>
    <w:rPr>
      <w:rFonts w:ascii="Aptos" w:hAnsi="Aptos" w:cs="Aptos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219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2219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22193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22193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22193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22193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22193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22193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22193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2219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2219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2219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2219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2219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2219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2219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2219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2219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2219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1221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22193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1221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22193"/>
    <w:pPr>
      <w:spacing w:before="160" w:after="160" w:line="278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12219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22193"/>
    <w:pPr>
      <w:spacing w:after="160" w:line="278" w:lineRule="auto"/>
      <w:ind w:left="720"/>
      <w:contextualSpacing/>
    </w:pPr>
    <w:rPr>
      <w:rFonts w:ascii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12219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21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219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22193"/>
    <w:rPr>
      <w:b/>
      <w:bCs/>
      <w:smallCaps/>
      <w:color w:val="0F4761" w:themeColor="accent1" w:themeShade="BF"/>
      <w:spacing w:val="5"/>
    </w:rPr>
  </w:style>
  <w:style w:type="character" w:customStyle="1" w:styleId="apple-converted-space">
    <w:name w:val="apple-converted-space"/>
    <w:basedOn w:val="DefaultParagraphFont"/>
    <w:rsid w:val="00E931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9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980800D8B8A0418A1CB1384859D4FD" ma:contentTypeVersion="18" ma:contentTypeDescription="Create a new document." ma:contentTypeScope="" ma:versionID="934d5fc951f226e09f7c60d37a922212">
  <xsd:schema xmlns:xsd="http://www.w3.org/2001/XMLSchema" xmlns:xs="http://www.w3.org/2001/XMLSchema" xmlns:p="http://schemas.microsoft.com/office/2006/metadata/properties" xmlns:ns2="4c83a8fc-2b47-4c9e-bf90-3d647cba42c9" xmlns:ns3="e8460696-394f-4f41-9e12-3744854d0a0e" targetNamespace="http://schemas.microsoft.com/office/2006/metadata/properties" ma:root="true" ma:fieldsID="1585e52440a8b001a2118a1347ca8712" ns2:_="" ns3:_="">
    <xsd:import namespace="4c83a8fc-2b47-4c9e-bf90-3d647cba42c9"/>
    <xsd:import namespace="e8460696-394f-4f41-9e12-3744854d0a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83a8fc-2b47-4c9e-bf90-3d647cba4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efe3995-bce5-46d4-bb09-8036ee319a8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60696-394f-4f41-9e12-3744854d0a0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7b6e2f5-7ac0-4af6-9144-edcea7e8eaab}" ma:internalName="TaxCatchAll" ma:showField="CatchAllData" ma:web="e8460696-394f-4f41-9e12-3744854d0a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83a8fc-2b47-4c9e-bf90-3d647cba42c9">
      <Terms xmlns="http://schemas.microsoft.com/office/infopath/2007/PartnerControls"/>
    </lcf76f155ced4ddcb4097134ff3c332f>
    <TaxCatchAll xmlns="e8460696-394f-4f41-9e12-3744854d0a0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1F51656-B0F8-4077-A9F9-E0BA6871AC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83a8fc-2b47-4c9e-bf90-3d647cba42c9"/>
    <ds:schemaRef ds:uri="e8460696-394f-4f41-9e12-3744854d0a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0512EB-17FE-4691-8D67-CB12DC4AE149}">
  <ds:schemaRefs>
    <ds:schemaRef ds:uri="http://schemas.microsoft.com/office/2006/metadata/properties"/>
    <ds:schemaRef ds:uri="http://schemas.microsoft.com/office/infopath/2007/PartnerControls"/>
    <ds:schemaRef ds:uri="4c83a8fc-2b47-4c9e-bf90-3d647cba42c9"/>
    <ds:schemaRef ds:uri="e8460696-394f-4f41-9e12-3744854d0a0e"/>
  </ds:schemaRefs>
</ds:datastoreItem>
</file>

<file path=customXml/itemProps3.xml><?xml version="1.0" encoding="utf-8"?>
<ds:datastoreItem xmlns:ds="http://schemas.openxmlformats.org/officeDocument/2006/customXml" ds:itemID="{9D14EAA6-3BE8-4E36-ACE1-3B0B91500B8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Cutter</dc:creator>
  <cp:keywords/>
  <dc:description/>
  <cp:lastModifiedBy>Charlotte Henry</cp:lastModifiedBy>
  <cp:revision>2</cp:revision>
  <dcterms:created xsi:type="dcterms:W3CDTF">2025-06-19T14:11:00Z</dcterms:created>
  <dcterms:modified xsi:type="dcterms:W3CDTF">2025-06-19T14:11:00Z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0x01010074980800D8B8A0418A1CB1384859D4FD</vt:lpwstr>
  </property>
</Properties>
</file>